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bidi w:val="0"/>
        <w:ind w:left="0" w:right="0" w:firstLine="0"/>
        <w:jc w:val="center"/>
        <w:rPr>
          <w:rFonts w:hint="eastAsia" w:ascii="Hiragino Sans GB W6" w:hAnsi="Hiragino Sans GB W6" w:eastAsia="Hiragino Sans GB W6" w:cs="Hiragino Sans GB W6"/>
          <w:b/>
          <w:bCs/>
          <w:color w:val="333333"/>
          <w:sz w:val="28"/>
          <w:szCs w:val="28"/>
          <w:shd w:val="clear" w:color="auto" w:fill="FFFFFF"/>
          <w:rtl w:val="0"/>
        </w:rPr>
      </w:pPr>
      <w:r>
        <w:rPr>
          <w:rFonts w:hint="eastAsia" w:ascii="Hiragino Sans GB W6" w:hAnsi="Hiragino Sans GB W6" w:eastAsia="Hiragino Sans GB W6" w:cs="Hiragino Sans GB W6"/>
          <w:b/>
          <w:bCs/>
          <w:color w:val="333333"/>
          <w:sz w:val="28"/>
          <w:szCs w:val="28"/>
          <w:shd w:val="clear" w:color="auto" w:fill="FFFFFF"/>
          <w:rtl w:val="0"/>
          <w:lang w:val="zh-CN" w:eastAsia="zh-CN"/>
        </w:rPr>
        <w:t>关于加强新时代高校教师队伍建设改革的指导意见</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4"/>
          <w:szCs w:val="24"/>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一、准确把握高校教师队伍建设改革的时代要求，落实立德树人根本任务</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w:t>
      </w:r>
      <w:r>
        <w:rPr>
          <w:rFonts w:hint="eastAsia" w:eastAsia="冬青黑体简体中文 W3" w:asciiTheme="minorAscii"/>
          <w:color w:val="333333"/>
          <w:sz w:val="21"/>
          <w:szCs w:val="21"/>
          <w:shd w:val="clear" w:color="auto" w:fill="FFFFFF"/>
          <w:rtl w:val="0"/>
          <w:lang w:val="zh-CN" w:eastAsia="zh-CN"/>
        </w:rPr>
        <w:t>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2.</w:t>
      </w:r>
      <w:r>
        <w:rPr>
          <w:rFonts w:hint="eastAsia" w:eastAsia="冬青黑体简体中文 W3" w:asciiTheme="minorAscii"/>
          <w:color w:val="333333"/>
          <w:sz w:val="21"/>
          <w:szCs w:val="21"/>
          <w:shd w:val="clear" w:color="auto" w:fill="FFFFFF"/>
          <w:rtl w:val="0"/>
          <w:lang w:val="zh-CN" w:eastAsia="zh-CN"/>
        </w:rPr>
        <w:t>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二、全面加强党的领导，不断提升教师思想政治素质和师德素养</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3.</w:t>
      </w:r>
      <w:r>
        <w:rPr>
          <w:rFonts w:hint="eastAsia" w:eastAsia="冬青黑体简体中文 W3" w:asciiTheme="minorAscii"/>
          <w:color w:val="333333"/>
          <w:sz w:val="21"/>
          <w:szCs w:val="21"/>
          <w:shd w:val="clear" w:color="auto" w:fill="FFFFFF"/>
          <w:rtl w:val="0"/>
          <w:lang w:val="zh-CN" w:eastAsia="zh-CN"/>
        </w:rPr>
        <w:t>加强思想政治引领。引导广大教师坚持</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四个相统一</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，争做</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rPr>
        <w:t>四有</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好老师，当好</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四个引路人</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，增强</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四个意识</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、坚定</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四个自信</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TW" w:eastAsia="zh-TW"/>
        </w:rPr>
        <w:t>、做到</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两个维护</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4.</w:t>
      </w:r>
      <w:r>
        <w:rPr>
          <w:rFonts w:hint="eastAsia" w:eastAsia="冬青黑体简体中文 W3" w:asciiTheme="minorAscii"/>
          <w:color w:val="333333"/>
          <w:sz w:val="21"/>
          <w:szCs w:val="21"/>
          <w:shd w:val="clear" w:color="auto" w:fill="FFFFFF"/>
          <w:rtl w:val="0"/>
          <w:lang w:val="zh-CN" w:eastAsia="zh-CN"/>
        </w:rPr>
        <w:t>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rPr>
        <w:t>四史</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5.</w:t>
      </w:r>
      <w:r>
        <w:rPr>
          <w:rFonts w:hint="eastAsia" w:eastAsia="冬青黑体简体中文 W3" w:asciiTheme="minorAscii"/>
          <w:color w:val="333333"/>
          <w:sz w:val="21"/>
          <w:szCs w:val="21"/>
          <w:shd w:val="clear" w:color="auto" w:fill="FFFFFF"/>
          <w:rtl w:val="0"/>
          <w:lang w:val="zh-CN" w:eastAsia="zh-CN"/>
        </w:rPr>
        <w:t>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三、建设高校教师发展平台，着力提升教师专业素质能力</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6.</w:t>
      </w:r>
      <w:r>
        <w:rPr>
          <w:rFonts w:hint="eastAsia" w:eastAsia="冬青黑体简体中文 W3" w:asciiTheme="minorAscii"/>
          <w:color w:val="333333"/>
          <w:sz w:val="21"/>
          <w:szCs w:val="21"/>
          <w:shd w:val="clear" w:color="auto" w:fill="FFFFFF"/>
          <w:rtl w:val="0"/>
          <w:lang w:val="zh-CN" w:eastAsia="zh-CN"/>
        </w:rPr>
        <w:t>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7.</w:t>
      </w:r>
      <w:r>
        <w:rPr>
          <w:rFonts w:hint="eastAsia" w:eastAsia="冬青黑体简体中文 W3" w:asciiTheme="minorAscii"/>
          <w:color w:val="333333"/>
          <w:sz w:val="21"/>
          <w:szCs w:val="21"/>
          <w:shd w:val="clear" w:color="auto" w:fill="FFFFFF"/>
          <w:rtl w:val="0"/>
          <w:lang w:val="zh-CN" w:eastAsia="zh-CN"/>
        </w:rPr>
        <w:t>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四、完善现代高校教师管理制度，激发教师队伍创新活力</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8.</w:t>
      </w:r>
      <w:r>
        <w:rPr>
          <w:rFonts w:hint="eastAsia" w:eastAsia="冬青黑体简体中文 W3" w:asciiTheme="minorAscii"/>
          <w:color w:val="333333"/>
          <w:sz w:val="21"/>
          <w:szCs w:val="21"/>
          <w:shd w:val="clear" w:color="auto" w:fill="FFFFFF"/>
          <w:rtl w:val="0"/>
          <w:lang w:val="zh-CN" w:eastAsia="zh-CN"/>
        </w:rPr>
        <w:t>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9.</w:t>
      </w:r>
      <w:r>
        <w:rPr>
          <w:rFonts w:hint="eastAsia" w:eastAsia="冬青黑体简体中文 W3" w:asciiTheme="minorAscii"/>
          <w:color w:val="333333"/>
          <w:sz w:val="21"/>
          <w:szCs w:val="21"/>
          <w:shd w:val="clear" w:color="auto" w:fill="FFFFFF"/>
          <w:rtl w:val="0"/>
          <w:lang w:val="zh-CN" w:eastAsia="zh-CN"/>
        </w:rPr>
        <w:t>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10.</w:t>
      </w:r>
      <w:r>
        <w:rPr>
          <w:rFonts w:hint="eastAsia" w:eastAsia="冬青黑体简体中文 W3" w:asciiTheme="minorAscii"/>
          <w:color w:val="333333"/>
          <w:sz w:val="21"/>
          <w:szCs w:val="21"/>
          <w:shd w:val="clear" w:color="auto" w:fill="FFFFFF"/>
          <w:rtl w:val="0"/>
          <w:lang w:val="zh-CN" w:eastAsia="zh-CN"/>
        </w:rPr>
        <w:t>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11.</w:t>
      </w:r>
      <w:r>
        <w:rPr>
          <w:rFonts w:hint="eastAsia" w:eastAsia="冬青黑体简体中文 W3" w:asciiTheme="minorAscii"/>
          <w:color w:val="333333"/>
          <w:sz w:val="21"/>
          <w:szCs w:val="21"/>
          <w:shd w:val="clear" w:color="auto" w:fill="FFFFFF"/>
          <w:rtl w:val="0"/>
          <w:lang w:val="zh-CN" w:eastAsia="zh-CN"/>
        </w:rPr>
        <w:t>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12.</w:t>
      </w:r>
      <w:r>
        <w:rPr>
          <w:rFonts w:hint="eastAsia" w:eastAsia="冬青黑体简体中文 W3" w:asciiTheme="minorAscii"/>
          <w:color w:val="333333"/>
          <w:sz w:val="21"/>
          <w:szCs w:val="21"/>
          <w:shd w:val="clear" w:color="auto" w:fill="FFFFFF"/>
          <w:rtl w:val="0"/>
          <w:lang w:val="zh-CN" w:eastAsia="zh-CN"/>
        </w:rPr>
        <w:t>深化高校教师考核评价制度改革。突出质量导向，注重凭能力、实绩和贡献评价教师，坚决扭转轻教学、轻育人等倾向，克服唯论文、唯帽子、唯职称、唯学历、唯奖项等弊病。规范高等学校</w:t>
      </w:r>
      <w:r>
        <w:rPr>
          <w:rFonts w:hAnsi="冬青黑体简体中文 W3" w:asciiTheme="minorAscii"/>
          <w:color w:val="333333"/>
          <w:sz w:val="21"/>
          <w:szCs w:val="21"/>
          <w:shd w:val="clear" w:color="auto" w:fill="FFFFFF"/>
          <w:rtl w:val="0"/>
          <w:lang w:val="de-DE"/>
        </w:rPr>
        <w:t>SCI</w:t>
      </w:r>
      <w:r>
        <w:rPr>
          <w:rFonts w:hint="eastAsia" w:eastAsia="冬青黑体简体中文 W3" w:asciiTheme="minorAscii"/>
          <w:color w:val="333333"/>
          <w:sz w:val="21"/>
          <w:szCs w:val="21"/>
          <w:shd w:val="clear" w:color="auto" w:fill="FFFFFF"/>
          <w:rtl w:val="0"/>
          <w:lang w:val="zh-CN" w:eastAsia="zh-CN"/>
        </w:rPr>
        <w:t>等论文相关指标使用，避免</w:t>
      </w:r>
      <w:r>
        <w:rPr>
          <w:rFonts w:hAnsi="冬青黑体简体中文 W3" w:asciiTheme="minorAscii"/>
          <w:color w:val="333333"/>
          <w:sz w:val="21"/>
          <w:szCs w:val="21"/>
          <w:shd w:val="clear" w:color="auto" w:fill="FFFFFF"/>
          <w:rtl w:val="0"/>
          <w:lang w:val="de-DE"/>
        </w:rPr>
        <w:t>SCI</w:t>
      </w:r>
      <w:r>
        <w:rPr>
          <w:rFonts w:hint="eastAsia" w:eastAsia="冬青黑体简体中文 W3" w:asciiTheme="minorAscii"/>
          <w:color w:val="333333"/>
          <w:sz w:val="21"/>
          <w:szCs w:val="21"/>
          <w:shd w:val="clear" w:color="auto" w:fill="FFFFFF"/>
          <w:rtl w:val="0"/>
          <w:lang w:val="zh-TW" w:eastAsia="zh-TW"/>
        </w:rPr>
        <w:t>、</w:t>
      </w:r>
      <w:r>
        <w:rPr>
          <w:rFonts w:hAnsi="冬青黑体简体中文 W3" w:asciiTheme="minorAscii"/>
          <w:color w:val="333333"/>
          <w:sz w:val="21"/>
          <w:szCs w:val="21"/>
          <w:shd w:val="clear" w:color="auto" w:fill="FFFFFF"/>
          <w:rtl w:val="0"/>
          <w:lang w:val="de-DE"/>
        </w:rPr>
        <w:t>SSCI</w:t>
      </w:r>
      <w:r>
        <w:rPr>
          <w:rFonts w:hint="eastAsia" w:eastAsia="冬青黑体简体中文 W3" w:asciiTheme="minorAscii"/>
          <w:color w:val="333333"/>
          <w:sz w:val="21"/>
          <w:szCs w:val="21"/>
          <w:shd w:val="clear" w:color="auto" w:fill="FFFFFF"/>
          <w:rtl w:val="0"/>
          <w:lang w:val="zh-TW" w:eastAsia="zh-TW"/>
        </w:rPr>
        <w:t>、</w:t>
      </w:r>
      <w:r>
        <w:rPr>
          <w:rFonts w:hAnsi="冬青黑体简体中文 W3" w:asciiTheme="minorAscii"/>
          <w:color w:val="333333"/>
          <w:sz w:val="21"/>
          <w:szCs w:val="21"/>
          <w:shd w:val="clear" w:color="auto" w:fill="FFFFFF"/>
          <w:rtl w:val="0"/>
        </w:rPr>
        <w:t>A&amp;HCI</w:t>
      </w:r>
      <w:r>
        <w:rPr>
          <w:rFonts w:hint="eastAsia" w:eastAsia="冬青黑体简体中文 W3" w:asciiTheme="minorAscii"/>
          <w:color w:val="333333"/>
          <w:sz w:val="21"/>
          <w:szCs w:val="21"/>
          <w:shd w:val="clear" w:color="auto" w:fill="FFFFFF"/>
          <w:rtl w:val="0"/>
          <w:lang w:val="zh-TW" w:eastAsia="zh-TW"/>
        </w:rPr>
        <w:t>、</w:t>
      </w:r>
      <w:r>
        <w:rPr>
          <w:rFonts w:hAnsi="冬青黑体简体中文 W3" w:asciiTheme="minorAscii"/>
          <w:color w:val="333333"/>
          <w:sz w:val="21"/>
          <w:szCs w:val="21"/>
          <w:shd w:val="clear" w:color="auto" w:fill="FFFFFF"/>
          <w:rtl w:val="0"/>
          <w:lang w:val="de-DE"/>
        </w:rPr>
        <w:t>CSSCI</w:t>
      </w:r>
      <w:r>
        <w:rPr>
          <w:rFonts w:hint="eastAsia" w:eastAsia="冬青黑体简体中文 W3" w:asciiTheme="minorAscii"/>
          <w:color w:val="333333"/>
          <w:sz w:val="21"/>
          <w:szCs w:val="21"/>
          <w:shd w:val="clear" w:color="auto" w:fill="FFFFFF"/>
          <w:rtl w:val="0"/>
          <w:lang w:val="zh-CN" w:eastAsia="zh-CN"/>
        </w:rPr>
        <w:t>等引文数据使用中的绝对化，坚决摒弃</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以刊评文</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，破除论文</w:t>
      </w:r>
      <w:r>
        <w:rPr>
          <w:rFonts w:hint="default" w:hAnsi="冬青黑体简体中文 W3" w:asciiTheme="minorAscii"/>
          <w:color w:val="333333"/>
          <w:sz w:val="21"/>
          <w:szCs w:val="21"/>
          <w:shd w:val="clear" w:color="auto" w:fill="FFFFFF"/>
          <w:rtl/>
          <w:lang w:val="ar-SA" w:bidi="ar-SA"/>
        </w:rPr>
        <w:t>“</w:t>
      </w:r>
      <w:r>
        <w:rPr>
          <w:rFonts w:hAnsi="冬青黑体简体中文 W3" w:asciiTheme="minorAscii"/>
          <w:color w:val="333333"/>
          <w:sz w:val="21"/>
          <w:szCs w:val="21"/>
          <w:shd w:val="clear" w:color="auto" w:fill="FFFFFF"/>
          <w:rtl w:val="0"/>
          <w:lang w:val="de-DE"/>
        </w:rPr>
        <w:t>SCI</w:t>
      </w:r>
      <w:r>
        <w:rPr>
          <w:rFonts w:hint="eastAsia" w:eastAsia="冬青黑体简体中文 W3" w:asciiTheme="minorAscii"/>
          <w:color w:val="333333"/>
          <w:sz w:val="21"/>
          <w:szCs w:val="21"/>
          <w:shd w:val="clear" w:color="auto" w:fill="FFFFFF"/>
          <w:rtl w:val="0"/>
          <w:lang w:val="zh-TW" w:eastAsia="zh-TW"/>
        </w:rPr>
        <w:t>至上</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13.</w:t>
      </w:r>
      <w:r>
        <w:rPr>
          <w:rFonts w:hint="eastAsia" w:eastAsia="冬青黑体简体中文 W3" w:asciiTheme="minorAscii"/>
          <w:color w:val="333333"/>
          <w:sz w:val="21"/>
          <w:szCs w:val="21"/>
          <w:shd w:val="clear" w:color="auto" w:fill="FFFFFF"/>
          <w:rtl w:val="0"/>
          <w:lang w:val="zh-CN" w:eastAsia="zh-CN"/>
        </w:rPr>
        <w:t>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五、切实保障高校教师待遇，吸引稳定一流人才从教</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14.</w:t>
      </w:r>
      <w:r>
        <w:rPr>
          <w:rFonts w:hint="eastAsia" w:eastAsia="冬青黑体简体中文 W3" w:asciiTheme="minorAscii"/>
          <w:color w:val="333333"/>
          <w:sz w:val="21"/>
          <w:szCs w:val="21"/>
          <w:shd w:val="clear" w:color="auto" w:fill="FFFFFF"/>
          <w:rtl w:val="0"/>
          <w:lang w:val="zh-CN" w:eastAsia="zh-CN"/>
        </w:rPr>
        <w:t>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15.</w:t>
      </w:r>
      <w:r>
        <w:rPr>
          <w:rFonts w:hint="eastAsia" w:eastAsia="冬青黑体简体中文 W3" w:asciiTheme="minorAscii"/>
          <w:color w:val="333333"/>
          <w:sz w:val="21"/>
          <w:szCs w:val="21"/>
          <w:shd w:val="clear" w:color="auto" w:fill="FFFFFF"/>
          <w:rtl w:val="0"/>
          <w:lang w:val="zh-CN" w:eastAsia="zh-CN"/>
        </w:rPr>
        <w:t>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六、优化完善人才管理服务体系，培养造就一批高层次创新人才</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16.</w:t>
      </w:r>
      <w:r>
        <w:rPr>
          <w:rFonts w:hint="eastAsia" w:eastAsia="冬青黑体简体中文 W3" w:asciiTheme="minorAscii"/>
          <w:color w:val="333333"/>
          <w:sz w:val="21"/>
          <w:szCs w:val="21"/>
          <w:shd w:val="clear" w:color="auto" w:fill="FFFFFF"/>
          <w:rtl w:val="0"/>
          <w:lang w:val="zh-CN" w:eastAsia="zh-CN"/>
        </w:rPr>
        <w:t>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到</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凡引必审</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17.</w:t>
      </w:r>
      <w:r>
        <w:rPr>
          <w:rFonts w:hint="eastAsia" w:eastAsia="冬青黑体简体中文 W3" w:asciiTheme="minorAscii"/>
          <w:color w:val="333333"/>
          <w:sz w:val="21"/>
          <w:szCs w:val="21"/>
          <w:shd w:val="clear" w:color="auto" w:fill="FFFFFF"/>
          <w:rtl w:val="0"/>
          <w:lang w:val="zh-CN" w:eastAsia="zh-CN"/>
        </w:rPr>
        <w:t>科学合理使用人才。充分发挥好人才战略资源作用，坚持正确的人才使用导向，分类推进人才评价机制改革，推动各类人才</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rPr>
        <w:t>帽子</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七、全力支持青年教师成长，培育高等教育事业生力军</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18.</w:t>
      </w:r>
      <w:r>
        <w:rPr>
          <w:rFonts w:hint="eastAsia" w:eastAsia="冬青黑体简体中文 W3" w:asciiTheme="minorAscii"/>
          <w:color w:val="333333"/>
          <w:sz w:val="21"/>
          <w:szCs w:val="21"/>
          <w:shd w:val="clear" w:color="auto" w:fill="FFFFFF"/>
          <w:rtl w:val="0"/>
          <w:lang w:val="zh-CN" w:eastAsia="zh-CN"/>
        </w:rPr>
        <w:t>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19.</w:t>
      </w:r>
      <w:r>
        <w:rPr>
          <w:rFonts w:hint="eastAsia" w:eastAsia="冬青黑体简体中文 W3" w:asciiTheme="minorAscii"/>
          <w:color w:val="333333"/>
          <w:sz w:val="21"/>
          <w:szCs w:val="21"/>
          <w:shd w:val="clear" w:color="auto" w:fill="FFFFFF"/>
          <w:rtl w:val="0"/>
          <w:lang w:val="zh-CN" w:eastAsia="zh-CN"/>
        </w:rPr>
        <w:t>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八、强化工作保障，确保各项政策举措落地见效</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r>
        <w:rPr>
          <w:rFonts w:hAnsi="冬青黑体简体中文 W3" w:asciiTheme="minorAscii"/>
          <w:color w:val="333333"/>
          <w:sz w:val="21"/>
          <w:szCs w:val="21"/>
          <w:shd w:val="clear" w:color="auto" w:fill="FFFFFF"/>
          <w:rtl w:val="0"/>
        </w:rPr>
        <w:t>20.</w:t>
      </w:r>
      <w:r>
        <w:rPr>
          <w:rFonts w:hint="eastAsia" w:eastAsia="冬青黑体简体中文 W3" w:asciiTheme="minorAscii"/>
          <w:color w:val="333333"/>
          <w:sz w:val="21"/>
          <w:szCs w:val="21"/>
          <w:shd w:val="clear" w:color="auto" w:fill="FFFFFF"/>
          <w:rtl w:val="0"/>
          <w:lang w:val="zh-CN" w:eastAsia="zh-CN"/>
        </w:rPr>
        <w:t>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w:t>
      </w:r>
      <w:r>
        <w:rPr>
          <w:rFonts w:hint="default" w:hAnsi="冬青黑体简体中文 W3" w:asciiTheme="minorAscii"/>
          <w:color w:val="333333"/>
          <w:sz w:val="21"/>
          <w:szCs w:val="21"/>
          <w:shd w:val="clear" w:color="auto" w:fill="FFFFFF"/>
          <w:rtl/>
          <w:lang w:val="ar-SA" w:bidi="ar-SA"/>
        </w:rPr>
        <w:t>“</w:t>
      </w:r>
      <w:r>
        <w:rPr>
          <w:rFonts w:hint="eastAsia" w:eastAsia="冬青黑体简体中文 W3" w:asciiTheme="minorAscii"/>
          <w:color w:val="333333"/>
          <w:sz w:val="21"/>
          <w:szCs w:val="21"/>
          <w:shd w:val="clear" w:color="auto" w:fill="FFFFFF"/>
          <w:rtl w:val="0"/>
          <w:lang w:val="zh-CN" w:eastAsia="zh-CN"/>
        </w:rPr>
        <w:t>双一流</w:t>
      </w:r>
      <w:r>
        <w:rPr>
          <w:rFonts w:hint="default" w:hAnsi="冬青黑体简体中文 W3" w:asciiTheme="minorAscii"/>
          <w:color w:val="333333"/>
          <w:sz w:val="21"/>
          <w:szCs w:val="21"/>
          <w:shd w:val="clear" w:color="auto" w:fill="FFFFFF"/>
          <w:rtl w:val="0"/>
        </w:rPr>
        <w:t>”</w:t>
      </w:r>
      <w:r>
        <w:rPr>
          <w:rFonts w:hint="eastAsia" w:eastAsia="冬青黑体简体中文 W3" w:asciiTheme="minorAscii"/>
          <w:color w:val="333333"/>
          <w:sz w:val="21"/>
          <w:szCs w:val="21"/>
          <w:shd w:val="clear" w:color="auto" w:fill="FFFFFF"/>
          <w:rtl w:val="0"/>
          <w:lang w:val="zh-CN" w:eastAsia="zh-CN"/>
        </w:rPr>
        <w:t>建设、教学科研评估范围，作为各级党组织和党员干部工作考核的重要内容。加强优秀教师和工作典型宣传，维护教师合法权益，营造关心支持教师发展的社会环境，形成全社会尊师重教的良好氛围。</w:t>
      </w: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p>
    <w:p>
      <w:pPr>
        <w:pStyle w:val="6"/>
        <w:framePr w:w="0" w:hRule="auto" w:wrap="auto" w:vAnchor="margin" w:hAnchor="text" w:yAlign="inline"/>
        <w:bidi w:val="0"/>
        <w:ind w:left="0" w:right="0" w:firstLine="0"/>
        <w:jc w:val="left"/>
        <w:rPr>
          <w:rFonts w:hAnsi="冬青黑体简体中文 W3" w:eastAsia="冬青黑体简体中文 W3" w:cs="冬青黑体简体中文 W3" w:asciiTheme="minorAscii"/>
          <w:color w:val="333333"/>
          <w:sz w:val="21"/>
          <w:szCs w:val="21"/>
          <w:shd w:val="clear" w:color="auto" w:fill="FFFFFF"/>
          <w:rtl w:val="0"/>
        </w:rPr>
      </w:pPr>
      <w:bookmarkStart w:id="0" w:name="_GoBack"/>
      <w:bookmarkEnd w:id="0"/>
    </w:p>
    <w:p>
      <w:pPr>
        <w:pStyle w:val="6"/>
        <w:framePr w:w="0" w:hRule="auto" w:wrap="auto" w:vAnchor="margin" w:hAnchor="text" w:yAlign="inline"/>
        <w:bidi w:val="0"/>
        <w:ind w:left="0" w:right="0" w:firstLine="0"/>
        <w:jc w:val="right"/>
        <w:rPr>
          <w:rFonts w:hAnsi="冬青黑体简体中文 W3" w:eastAsia="冬青黑体简体中文 W3" w:cs="冬青黑体简体中文 W3" w:asciiTheme="minorAscii"/>
          <w:color w:val="333333"/>
          <w:sz w:val="21"/>
          <w:szCs w:val="21"/>
          <w:shd w:val="clear" w:color="auto" w:fill="FFFFFF"/>
          <w:rtl w:val="0"/>
        </w:rPr>
      </w:pPr>
      <w:r>
        <w:rPr>
          <w:rFonts w:hint="eastAsia" w:eastAsia="冬青黑体简体中文 W3" w:asciiTheme="minorAscii"/>
          <w:color w:val="333333"/>
          <w:sz w:val="21"/>
          <w:szCs w:val="21"/>
          <w:shd w:val="clear" w:color="auto" w:fill="FFFFFF"/>
          <w:rtl w:val="0"/>
          <w:lang w:val="zh-CN" w:eastAsia="zh-CN"/>
        </w:rPr>
        <w:t>教育部 中央组织部 中央宣传部 财政部 人力资源社会保障部 住房和城乡建设部</w:t>
      </w:r>
    </w:p>
    <w:p>
      <w:pPr>
        <w:pStyle w:val="6"/>
        <w:framePr w:w="0" w:hRule="auto" w:wrap="auto" w:vAnchor="margin" w:hAnchor="text" w:yAlign="inline"/>
        <w:bidi w:val="0"/>
        <w:ind w:left="0" w:right="0" w:firstLine="0"/>
        <w:jc w:val="right"/>
        <w:rPr>
          <w:rFonts w:asciiTheme="minorAscii"/>
          <w:sz w:val="21"/>
          <w:szCs w:val="21"/>
          <w:rtl w:val="0"/>
        </w:rPr>
      </w:pPr>
      <w:r>
        <w:rPr>
          <w:rFonts w:hAnsi="冬青黑体简体中文 W3" w:asciiTheme="minorAscii"/>
          <w:color w:val="333333"/>
          <w:sz w:val="21"/>
          <w:szCs w:val="21"/>
          <w:shd w:val="clear" w:color="auto" w:fill="FFFFFF"/>
          <w:rtl w:val="0"/>
        </w:rPr>
        <w:t>2020</w:t>
      </w:r>
      <w:r>
        <w:rPr>
          <w:rFonts w:hint="eastAsia" w:eastAsia="冬青黑体简体中文 W3" w:asciiTheme="minorAscii"/>
          <w:color w:val="333333"/>
          <w:sz w:val="21"/>
          <w:szCs w:val="21"/>
          <w:shd w:val="clear" w:color="auto" w:fill="FFFFFF"/>
          <w:rtl w:val="0"/>
        </w:rPr>
        <w:t>年</w:t>
      </w:r>
      <w:r>
        <w:rPr>
          <w:rFonts w:hAnsi="冬青黑体简体中文 W3" w:asciiTheme="minorAscii"/>
          <w:color w:val="333333"/>
          <w:sz w:val="21"/>
          <w:szCs w:val="21"/>
          <w:shd w:val="clear" w:color="auto" w:fill="FFFFFF"/>
          <w:rtl w:val="0"/>
        </w:rPr>
        <w:t>12</w:t>
      </w:r>
      <w:r>
        <w:rPr>
          <w:rFonts w:hint="eastAsia" w:eastAsia="冬青黑体简体中文 W3" w:asciiTheme="minorAscii"/>
          <w:color w:val="333333"/>
          <w:sz w:val="21"/>
          <w:szCs w:val="21"/>
          <w:shd w:val="clear" w:color="auto" w:fill="FFFFFF"/>
          <w:rtl w:val="0"/>
        </w:rPr>
        <w:t>月</w:t>
      </w:r>
      <w:r>
        <w:rPr>
          <w:rFonts w:hAnsi="冬青黑体简体中文 W3" w:asciiTheme="minorAscii"/>
          <w:color w:val="333333"/>
          <w:sz w:val="21"/>
          <w:szCs w:val="21"/>
          <w:shd w:val="clear" w:color="auto" w:fill="FFFFFF"/>
          <w:rtl w:val="0"/>
        </w:rPr>
        <w:t>24</w:t>
      </w:r>
      <w:r>
        <w:rPr>
          <w:rFonts w:hint="eastAsia" w:eastAsia="冬青黑体简体中文 W3" w:asciiTheme="minorAscii"/>
          <w:color w:val="333333"/>
          <w:sz w:val="21"/>
          <w:szCs w:val="21"/>
          <w:shd w:val="clear" w:color="auto" w:fill="FFFFFF"/>
          <w:rtl w:val="0"/>
        </w:rPr>
        <w:t>日</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ymbol">
    <w:altName w:val="Kingsoft Sign"/>
    <w:panose1 w:val="00000000000000000000"/>
    <w:charset w:val="02"/>
    <w:family w:val="roman"/>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Arial Unicode MS">
    <w:panose1 w:val="020B0604020202020204"/>
    <w:charset w:val="86"/>
    <w:family w:val="roman"/>
    <w:pitch w:val="default"/>
    <w:sig w:usb0="FFFFFFFF" w:usb1="E9FFFFFF" w:usb2="0000003F" w:usb3="00000000" w:csb0="603F01FF" w:csb1="FFFF0000"/>
  </w:font>
  <w:font w:name="Helvetica Neue">
    <w:panose1 w:val="02000503000000020004"/>
    <w:charset w:val="00"/>
    <w:family w:val="roman"/>
    <w:pitch w:val="default"/>
    <w:sig w:usb0="E50002FF" w:usb1="500079DB" w:usb2="00000010" w:usb3="00000000" w:csb0="00000000" w:csb1="00000000"/>
  </w:font>
  <w:font w:name="冬青黑体简体中文 W3">
    <w:panose1 w:val="020B0300000000000000"/>
    <w:charset w:val="86"/>
    <w:family w:val="roman"/>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GB W3">
    <w:panose1 w:val="020B0300000000000000"/>
    <w:charset w:val="86"/>
    <w:family w:val="auto"/>
    <w:pitch w:val="default"/>
    <w:sig w:usb0="A00002BF" w:usb1="1ACF7CFA" w:usb2="00000016" w:usb3="00000000" w:csb0="00060007" w:csb1="00000000"/>
  </w:font>
  <w:font w:name="Hiragino Sans GB W6">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A7BE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Office_2.5.0.4070_F1E327BC-269C-435d-A152-05C5408002CA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2021-06-08T11:00:46Z</dcterms:created>
  <dc:creator>Data</dc:creator>
  <cp:lastModifiedBy>ceciliaphang</cp:lastModifiedBy>
  <dcterms:modified xsi:type="dcterms:W3CDTF">2021-06-08T11:02:30Z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